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hint="eastAsia" w:ascii="Calibri" w:hAnsi="Calibri" w:eastAsia="黑体"/>
          <w:sz w:val="36"/>
          <w:szCs w:val="22"/>
          <w:lang w:val="en-US" w:eastAsia="zh-CN"/>
        </w:rPr>
      </w:pPr>
    </w:p>
    <w:p>
      <w:pPr>
        <w:autoSpaceDE w:val="0"/>
        <w:autoSpaceDN w:val="0"/>
        <w:jc w:val="center"/>
        <w:rPr>
          <w:rFonts w:hint="eastAsia" w:ascii="Calibri" w:hAnsi="Calibri" w:eastAsia="黑体"/>
          <w:sz w:val="36"/>
          <w:szCs w:val="22"/>
          <w:lang w:val="en-US" w:eastAsia="zh-CN"/>
        </w:rPr>
      </w:pPr>
    </w:p>
    <w:p>
      <w:pPr>
        <w:autoSpaceDE w:val="0"/>
        <w:autoSpaceDN w:val="0"/>
        <w:jc w:val="center"/>
        <w:rPr>
          <w:rFonts w:hint="eastAsia" w:ascii="宋体" w:hAnsi="宋体" w:eastAsia="宋体"/>
          <w:sz w:val="32"/>
          <w:szCs w:val="32"/>
          <w:lang w:eastAsia="zh-CN"/>
        </w:rPr>
      </w:pPr>
      <w:r>
        <w:rPr>
          <w:rFonts w:hint="eastAsia" w:ascii="Calibri" w:hAnsi="Calibri" w:eastAsia="黑体"/>
          <w:sz w:val="36"/>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w w:val="85"/>
          <w:sz w:val="44"/>
          <w:szCs w:val="44"/>
          <w:lang w:val="en-US" w:eastAsia="zh-CN"/>
        </w:rPr>
      </w:pPr>
      <w:r>
        <w:rPr>
          <w:rFonts w:hint="eastAsia" w:ascii="方正小标宋简体" w:hAnsi="方正小标宋简体" w:eastAsia="方正小标宋简体" w:cs="方正小标宋简体"/>
          <w:b/>
          <w:w w:val="85"/>
          <w:sz w:val="44"/>
          <w:szCs w:val="44"/>
          <w:lang w:val="en-US" w:eastAsia="zh-CN"/>
        </w:rPr>
        <w:t>西安商贸物流集团有限公司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sz w:val="44"/>
          <w:szCs w:val="44"/>
          <w:lang w:val="en-US"/>
        </w:rPr>
      </w:pPr>
      <w:r>
        <w:rPr>
          <w:rFonts w:hint="eastAsia" w:ascii="方正小标宋简体" w:hAnsi="方正小标宋简体" w:eastAsia="方正小标宋简体" w:cs="方正小标宋简体"/>
          <w:b/>
          <w:w w:val="85"/>
          <w:sz w:val="44"/>
          <w:szCs w:val="44"/>
          <w:lang w:val="en-US" w:eastAsia="zh-CN"/>
        </w:rPr>
        <w:t>关于公开征集朱宏物流园规划建设、城郊大仓基地两个项目可行性研究报告编制单位的询比文件</w:t>
      </w:r>
      <w:r>
        <w:rPr>
          <w:rFonts w:hint="eastAsia" w:ascii="仿宋_GB2312" w:hAnsi="仿宋_GB2312" w:eastAsia="仿宋_GB2312" w:cs="仿宋_GB2312"/>
          <w:b/>
          <w:sz w:val="44"/>
          <w:szCs w:val="44"/>
          <w:lang w:val="en-US" w:eastAsia="zh-CN"/>
        </w:rPr>
        <w:t xml:space="preserve"> </w:t>
      </w:r>
    </w:p>
    <w:p>
      <w:pPr>
        <w:jc w:val="center"/>
        <w:rPr>
          <w:rFonts w:hint="eastAsia" w:ascii="仿宋_GB2312" w:hAnsi="仿宋_GB2312" w:eastAsia="仿宋_GB2312" w:cs="仿宋_GB2312"/>
          <w:b w:val="0"/>
          <w:bCs/>
          <w:sz w:val="84"/>
          <w:szCs w:val="84"/>
          <w:lang w:val="en-US" w:eastAsia="zh-CN"/>
        </w:rPr>
      </w:pPr>
    </w:p>
    <w:p>
      <w:pPr>
        <w:jc w:val="center"/>
        <w:rPr>
          <w:rFonts w:hint="eastAsia" w:ascii="仿宋_GB2312" w:hAnsi="仿宋_GB2312" w:eastAsia="仿宋_GB2312" w:cs="仿宋_GB2312"/>
          <w:b w:val="0"/>
          <w:bCs/>
          <w:sz w:val="84"/>
          <w:szCs w:val="84"/>
          <w:lang w:val="en-US" w:eastAsia="zh-CN"/>
        </w:rPr>
      </w:pPr>
    </w:p>
    <w:p>
      <w:pPr>
        <w:jc w:val="center"/>
        <w:rPr>
          <w:rFonts w:hint="eastAsia" w:ascii="仿宋_GB2312" w:hAnsi="仿宋_GB2312" w:eastAsia="仿宋_GB2312" w:cs="仿宋_GB2312"/>
          <w:b w:val="0"/>
          <w:bCs/>
          <w:sz w:val="84"/>
          <w:szCs w:val="84"/>
          <w:lang w:val="en-US" w:eastAsia="zh-CN"/>
        </w:rPr>
      </w:pPr>
    </w:p>
    <w:p>
      <w:pPr>
        <w:pStyle w:val="2"/>
        <w:rPr>
          <w:rFonts w:hint="eastAsia" w:ascii="仿宋_GB2312" w:hAnsi="仿宋_GB2312" w:eastAsia="仿宋_GB2312" w:cs="仿宋_GB2312"/>
          <w:b w:val="0"/>
          <w:bCs/>
          <w:sz w:val="84"/>
          <w:szCs w:val="84"/>
        </w:rPr>
      </w:pPr>
      <w:r>
        <w:rPr>
          <w:rFonts w:hint="eastAsia" w:ascii="仿宋_GB2312" w:hAnsi="仿宋_GB2312" w:eastAsia="仿宋_GB2312" w:cs="仿宋_GB2312"/>
          <w:b w:val="0"/>
          <w:bCs/>
          <w:sz w:val="84"/>
          <w:szCs w:val="84"/>
          <w:lang w:val="en-US" w:eastAsia="zh-CN"/>
        </w:rPr>
        <w:t xml:space="preserve"> </w:t>
      </w:r>
    </w:p>
    <w:p>
      <w:pPr>
        <w:pStyle w:val="2"/>
        <w:rPr>
          <w:rFonts w:hint="eastAsia" w:ascii="仿宋_GB2312" w:hAnsi="仿宋_GB2312" w:eastAsia="仿宋_GB2312" w:cs="仿宋_GB2312"/>
          <w:b w:val="0"/>
          <w:bCs/>
          <w:sz w:val="84"/>
          <w:szCs w:val="84"/>
        </w:rPr>
      </w:pPr>
    </w:p>
    <w:p>
      <w:pPr>
        <w:pStyle w:val="2"/>
        <w:rPr>
          <w:rFonts w:hint="eastAsia" w:ascii="仿宋_GB2312" w:hAnsi="仿宋_GB2312" w:eastAsia="仿宋_GB2312" w:cs="仿宋_GB2312"/>
          <w:b w:val="0"/>
          <w:bCs/>
          <w:sz w:val="84"/>
          <w:szCs w:val="84"/>
          <w:lang w:val="zh-CN"/>
        </w:rPr>
      </w:pPr>
    </w:p>
    <w:p>
      <w:pPr>
        <w:autoSpaceDE w:val="0"/>
        <w:autoSpaceDN w:val="0"/>
        <w:spacing w:line="720" w:lineRule="auto"/>
        <w:jc w:val="center"/>
        <w:rPr>
          <w:rFonts w:hint="default" w:ascii="仿宋_GB2312" w:hAnsi="仿宋_GB2312" w:eastAsia="仿宋_GB2312" w:cs="仿宋_GB2312"/>
          <w:b/>
          <w:sz w:val="32"/>
          <w:szCs w:val="32"/>
          <w:lang w:val="en-US"/>
        </w:rPr>
      </w:pPr>
      <w:r>
        <w:rPr>
          <w:rFonts w:hint="eastAsia" w:ascii="仿宋_GB2312" w:hAnsi="仿宋_GB2312" w:eastAsia="仿宋_GB2312" w:cs="仿宋_GB2312"/>
          <w:b/>
          <w:sz w:val="32"/>
          <w:szCs w:val="32"/>
          <w:lang w:val="en-US" w:eastAsia="zh-CN"/>
        </w:rPr>
        <w:t>采 购</w:t>
      </w:r>
      <w:r>
        <w:rPr>
          <w:rFonts w:hint="eastAsia" w:ascii="仿宋_GB2312" w:hAnsi="仿宋_GB2312" w:eastAsia="仿宋_GB2312" w:cs="仿宋_GB2312"/>
          <w:b/>
          <w:sz w:val="32"/>
          <w:szCs w:val="32"/>
          <w:lang w:val="zh-CN"/>
        </w:rPr>
        <w:t xml:space="preserve"> 人：</w:t>
      </w:r>
      <w:r>
        <w:rPr>
          <w:rFonts w:hint="eastAsia" w:ascii="仿宋_GB2312" w:hAnsi="仿宋_GB2312" w:eastAsia="仿宋_GB2312" w:cs="仿宋_GB2312"/>
          <w:b/>
          <w:sz w:val="32"/>
          <w:szCs w:val="32"/>
          <w:lang w:val="en-US" w:eastAsia="zh-CN"/>
        </w:rPr>
        <w:t>西安商贸物流集团有限公司</w:t>
      </w:r>
    </w:p>
    <w:p>
      <w:pPr>
        <w:jc w:val="center"/>
        <w:rPr>
          <w:rFonts w:hint="eastAsia" w:ascii="方正小标宋简体" w:hAnsi="方正小标宋简体" w:eastAsia="方正小标宋简体" w:cs="方正小标宋简体"/>
          <w:sz w:val="44"/>
          <w:szCs w:val="44"/>
          <w:lang w:val="en-US" w:eastAsia="zh-CN"/>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lang w:val="zh-CN"/>
        </w:rPr>
        <w:t>二〇</w:t>
      </w:r>
      <w:r>
        <w:rPr>
          <w:rFonts w:hint="eastAsia" w:ascii="仿宋_GB2312" w:hAnsi="仿宋_GB2312" w:eastAsia="仿宋_GB2312" w:cs="仿宋_GB2312"/>
          <w:b/>
          <w:sz w:val="32"/>
        </w:rPr>
        <w:t>二</w:t>
      </w:r>
      <w:r>
        <w:rPr>
          <w:rFonts w:hint="eastAsia" w:ascii="仿宋_GB2312" w:hAnsi="仿宋_GB2312" w:eastAsia="仿宋_GB2312" w:cs="仿宋_GB2312"/>
          <w:b/>
          <w:sz w:val="32"/>
          <w:lang w:val="en-US" w:eastAsia="zh-CN"/>
        </w:rPr>
        <w:t>三</w:t>
      </w:r>
      <w:r>
        <w:rPr>
          <w:rFonts w:hint="eastAsia" w:ascii="仿宋_GB2312" w:hAnsi="仿宋_GB2312" w:eastAsia="仿宋_GB2312" w:cs="仿宋_GB2312"/>
          <w:b/>
          <w:sz w:val="32"/>
          <w:szCs w:val="32"/>
          <w:lang w:val="zh-CN"/>
        </w:rPr>
        <w:t>年</w:t>
      </w:r>
      <w:r>
        <w:rPr>
          <w:rFonts w:hint="eastAsia" w:ascii="仿宋_GB2312" w:hAnsi="仿宋_GB2312" w:eastAsia="仿宋_GB2312" w:cs="仿宋_GB2312"/>
          <w:b/>
          <w:sz w:val="32"/>
          <w:szCs w:val="32"/>
          <w:lang w:val="en-US" w:eastAsia="zh-CN"/>
        </w:rPr>
        <w:t>十</w:t>
      </w:r>
      <w:r>
        <w:rPr>
          <w:rFonts w:hint="eastAsia" w:ascii="仿宋_GB2312" w:hAnsi="仿宋_GB2312" w:eastAsia="仿宋_GB2312" w:cs="仿宋_GB2312"/>
          <w:b/>
          <w:sz w:val="32"/>
          <w:szCs w:val="32"/>
          <w:lang w:val="zh-CN"/>
        </w:rPr>
        <w:t>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w w:val="85"/>
          <w:sz w:val="44"/>
          <w:szCs w:val="44"/>
          <w:lang w:val="en-US" w:eastAsia="zh-CN"/>
        </w:rPr>
      </w:pPr>
      <w:r>
        <w:rPr>
          <w:rFonts w:hint="eastAsia" w:ascii="方正小标宋简体" w:hAnsi="方正小标宋简体" w:eastAsia="方正小标宋简体" w:cs="方正小标宋简体"/>
          <w:w w:val="85"/>
          <w:sz w:val="44"/>
          <w:szCs w:val="44"/>
          <w:lang w:val="en-US" w:eastAsia="zh-CN"/>
        </w:rPr>
        <w:t>西安商贸物流集团有限公司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w w:val="85"/>
          <w:sz w:val="44"/>
          <w:szCs w:val="44"/>
          <w:lang w:val="en-US" w:eastAsia="zh-CN"/>
        </w:rPr>
      </w:pPr>
      <w:r>
        <w:rPr>
          <w:rFonts w:hint="eastAsia" w:ascii="方正小标宋简体" w:hAnsi="方正小标宋简体" w:eastAsia="方正小标宋简体" w:cs="方正小标宋简体"/>
          <w:w w:val="85"/>
          <w:sz w:val="44"/>
          <w:szCs w:val="44"/>
          <w:lang w:val="en-US" w:eastAsia="zh-CN"/>
        </w:rPr>
        <w:t>关于公开征集朱宏物流园规划建设、城郊大仓基地两个项目可行性研究报告编制单位的询比公告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bookmarkStart w:id="0" w:name="_Toc504726309"/>
      <w:bookmarkStart w:id="1" w:name="_Toc50465793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sz w:val="32"/>
          <w:szCs w:val="32"/>
          <w:lang w:val="en-US" w:eastAsia="zh-CN"/>
        </w:rPr>
      </w:pPr>
      <w:bookmarkStart w:id="2" w:name="_Toc13752"/>
      <w:bookmarkStart w:id="3" w:name="_Toc28846"/>
      <w:r>
        <w:rPr>
          <w:rFonts w:hint="eastAsia" w:ascii="黑体" w:hAnsi="黑体" w:eastAsia="黑体" w:cs="黑体"/>
          <w:sz w:val="32"/>
          <w:szCs w:val="32"/>
          <w:lang w:val="en-US" w:eastAsia="zh-CN"/>
        </w:rPr>
        <w:t>一、项目概况</w:t>
      </w:r>
      <w:bookmarkEnd w:id="2"/>
      <w:bookmarkEnd w:id="3"/>
    </w:p>
    <w:p>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14" w:firstLineChars="192"/>
        <w:contextualSpacing/>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1.项目名称</w:t>
      </w:r>
    </w:p>
    <w:p>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14" w:firstLineChars="192"/>
        <w:contextualSpacing/>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关于公开征集朱宏物流园规划建设、城郊大仓基地两个项目可行性研究报告编制单位</w:t>
      </w:r>
    </w:p>
    <w:p>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14" w:firstLineChars="192"/>
        <w:contextualSpacing/>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2.采购人</w:t>
      </w:r>
    </w:p>
    <w:p>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14" w:firstLineChars="192"/>
        <w:contextualSpacing/>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西安商贸物流集团有限公司</w:t>
      </w:r>
    </w:p>
    <w:p>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14" w:firstLineChars="192"/>
        <w:contextualSpacing/>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3.采购内容</w:t>
      </w:r>
    </w:p>
    <w:p>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14" w:firstLineChars="192"/>
        <w:contextualSpacing/>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负责朱宏物流园规划建设、城郊大仓基地两个项目的可行性研究、报告编制及协助我公司进行项目入园评审、审批、立项等工作。</w:t>
      </w:r>
    </w:p>
    <w:p>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14" w:firstLineChars="192"/>
        <w:contextualSpacing/>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4.项目投资估算</w:t>
      </w:r>
    </w:p>
    <w:p>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14" w:firstLineChars="192"/>
        <w:contextualSpacing/>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（1）朱宏物流园规划建设项目投资估算约23000万元。</w:t>
      </w:r>
    </w:p>
    <w:p>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14" w:firstLineChars="192"/>
        <w:contextualSpacing/>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（2）城郊大仓基地项目投资估算投资估算约22000万元。</w:t>
      </w:r>
    </w:p>
    <w:p>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14" w:firstLineChars="192"/>
        <w:contextualSpacing/>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5.采购方式</w:t>
      </w:r>
    </w:p>
    <w:p>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14" w:firstLineChars="192"/>
        <w:contextualSpacing/>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根据国家有关法律法规规定和《西安市商贸物流集团有限公司招标采购管理办法》规定，本项目采取公开询比的方式确定可行性研究报告编制单位。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sz w:val="32"/>
          <w:szCs w:val="32"/>
          <w:lang w:val="en-US" w:eastAsia="zh-CN"/>
        </w:rPr>
      </w:pPr>
      <w:bookmarkStart w:id="4" w:name="_Toc10819"/>
      <w:bookmarkStart w:id="5" w:name="_Toc32701"/>
      <w:r>
        <w:rPr>
          <w:rFonts w:hint="eastAsia" w:ascii="黑体" w:hAnsi="黑体" w:eastAsia="黑体" w:cs="黑体"/>
          <w:sz w:val="32"/>
          <w:szCs w:val="32"/>
          <w:lang w:val="en-US" w:eastAsia="zh-CN"/>
        </w:rPr>
        <w:t>二、报名条件</w:t>
      </w:r>
      <w:bookmarkEnd w:id="4"/>
      <w:bookmarkEnd w:id="5"/>
    </w:p>
    <w:p>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14" w:firstLineChars="192"/>
        <w:contextualSpacing/>
        <w:jc w:val="both"/>
        <w:textAlignment w:val="auto"/>
        <w:rPr>
          <w:rFonts w:hint="eastAsia" w:ascii="仿宋_GB2312" w:hAnsi="仿宋_GB2312" w:eastAsia="仿宋_GB2312" w:cs="仿宋_GB2312"/>
          <w:color w:val="000000"/>
          <w:sz w:val="32"/>
          <w:szCs w:val="32"/>
          <w:lang w:val="en-US" w:eastAsia="zh-CN"/>
        </w:rPr>
      </w:pPr>
      <w:bookmarkStart w:id="6" w:name="_Toc32074"/>
      <w:bookmarkStart w:id="7" w:name="_Toc22983"/>
      <w:r>
        <w:rPr>
          <w:rFonts w:hint="eastAsia" w:ascii="仿宋_GB2312" w:hAnsi="仿宋_GB2312" w:eastAsia="仿宋_GB2312" w:cs="仿宋_GB2312"/>
          <w:color w:val="000000"/>
          <w:sz w:val="32"/>
          <w:szCs w:val="32"/>
          <w:lang w:val="en-US" w:eastAsia="zh-CN"/>
        </w:rPr>
        <w:t>1.投标人为具有工程咨询乙级及以上资质的独立企业法人。</w:t>
      </w:r>
    </w:p>
    <w:p>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14" w:firstLineChars="192"/>
        <w:contextualSpacing/>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2.投标人为一般纳税人，可以开具增值税专用发票。</w:t>
      </w:r>
    </w:p>
    <w:p>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14" w:firstLineChars="192"/>
        <w:contextualSpacing/>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3.本次采购不接受联合体投标。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三、投标文件的递交</w:t>
      </w:r>
      <w:bookmarkEnd w:id="6"/>
      <w:bookmarkEnd w:id="7"/>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1.时间：2023年10月19日至 2023年10月2</w:t>
      </w:r>
      <w:bookmarkStart w:id="23" w:name="_GoBack"/>
      <w:bookmarkEnd w:id="23"/>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3日，每天上午9:00至12:00，下午14:00至17:30，</w:t>
      </w:r>
      <w:r>
        <w:rPr>
          <w:rFonts w:hint="eastAsia" w:ascii="仿宋_GB2312" w:hAnsi="仿宋_GB2312" w:eastAsia="仿宋_GB2312" w:cs="仿宋_GB2312"/>
          <w:color w:val="000000"/>
          <w:sz w:val="32"/>
          <w:szCs w:val="32"/>
        </w:rPr>
        <w:t>逾期送达的投标文件，</w:t>
      </w:r>
      <w:r>
        <w:rPr>
          <w:rFonts w:hint="eastAsia" w:ascii="仿宋_GB2312" w:hAnsi="仿宋_GB2312" w:eastAsia="仿宋_GB2312" w:cs="仿宋_GB2312"/>
          <w:color w:val="000000"/>
          <w:sz w:val="32"/>
          <w:szCs w:val="32"/>
          <w:lang w:val="en-US" w:eastAsia="zh-CN"/>
        </w:rPr>
        <w:t>采购人</w:t>
      </w:r>
      <w:r>
        <w:rPr>
          <w:rFonts w:hint="eastAsia" w:ascii="仿宋_GB2312" w:hAnsi="仿宋_GB2312" w:eastAsia="仿宋_GB2312" w:cs="仿宋_GB2312"/>
          <w:color w:val="000000"/>
          <w:sz w:val="32"/>
          <w:szCs w:val="32"/>
        </w:rPr>
        <w:t>不予受理。</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2.投标资料提交地点：西安市浐灞生态区金桥三路前海人寿金融中心1号楼2201室西安商贸物流集团有限公司企划发展部。</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3.报名时必须提供以下资料：</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a.企业介绍信（原件）</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b.经办人身份证（留复印件，出示原件）。</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4.联系人</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联系人：曹少刚  联系电话：18792786086/18706897072 </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bookmarkEnd w:id="0"/>
    <w:bookmarkEnd w:id="1"/>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w w:val="85"/>
          <w:sz w:val="44"/>
          <w:szCs w:val="44"/>
          <w:lang w:val="en-US" w:eastAsia="zh-CN"/>
        </w:rPr>
      </w:pPr>
      <w:bookmarkStart w:id="8" w:name="_Toc7986"/>
      <w:bookmarkStart w:id="9" w:name="_Toc8951"/>
      <w:r>
        <w:rPr>
          <w:rFonts w:hint="eastAsia" w:ascii="方正小标宋简体" w:hAnsi="方正小标宋简体" w:eastAsia="方正小标宋简体" w:cs="方正小标宋简体"/>
          <w:w w:val="85"/>
          <w:sz w:val="44"/>
          <w:szCs w:val="44"/>
          <w:lang w:val="en-US" w:eastAsia="zh-CN"/>
        </w:rPr>
        <w:t>投标须知</w:t>
      </w:r>
      <w:bookmarkEnd w:id="8"/>
      <w:bookmarkEnd w:id="9"/>
      <w:bookmarkStart w:id="10" w:name="_Toc649"/>
    </w:p>
    <w:bookmarkEnd w:id="10"/>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sz w:val="32"/>
          <w:szCs w:val="32"/>
          <w:lang w:val="en-US" w:eastAsia="zh-CN"/>
        </w:rPr>
      </w:pPr>
      <w:bookmarkStart w:id="11" w:name="_Toc15025"/>
      <w:bookmarkStart w:id="12" w:name="_Toc30195"/>
      <w:r>
        <w:rPr>
          <w:rFonts w:hint="eastAsia" w:ascii="黑体" w:hAnsi="黑体" w:eastAsia="黑体" w:cs="黑体"/>
          <w:sz w:val="32"/>
          <w:szCs w:val="32"/>
          <w:lang w:val="en-US" w:eastAsia="zh-CN"/>
        </w:rPr>
        <w:t>一、合格的投标人</w:t>
      </w:r>
      <w:bookmarkEnd w:id="11"/>
      <w:bookmarkEnd w:id="12"/>
      <w:r>
        <w:rPr>
          <w:rFonts w:hint="eastAsia" w:ascii="黑体" w:hAnsi="黑体" w:eastAsia="黑体" w:cs="黑体"/>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本次招标针对满足以下要求的合格投标人：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1.投标人为具有工程咨询乙级及以上资质的独立企业法人。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2.投标人为一般纳税人，可以开具增值税专用发票。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3.本次采购不接受联合体投标。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4.投标人须具有同类业绩证明材料。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5.投标人近三年无违法违规行为，无行政处罚、惩戒</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等不良记录及不良反映，业内拥有良好的声誉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FF0000"/>
          <w:sz w:val="32"/>
          <w:szCs w:val="32"/>
          <w:u w:val="none"/>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6.企业负责人为同一人或者存在控股、管理关系的不同企业，不得同时参加本项目投标。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sz w:val="32"/>
          <w:szCs w:val="32"/>
          <w:lang w:val="en-US" w:eastAsia="zh-CN"/>
        </w:rPr>
      </w:pPr>
      <w:bookmarkStart w:id="13" w:name="_Toc9958"/>
      <w:bookmarkStart w:id="14" w:name="_Toc31297"/>
      <w:bookmarkStart w:id="15" w:name="_Toc11237"/>
      <w:r>
        <w:rPr>
          <w:rFonts w:hint="eastAsia" w:ascii="黑体" w:hAnsi="黑体" w:eastAsia="黑体" w:cs="黑体"/>
          <w:sz w:val="32"/>
          <w:szCs w:val="32"/>
          <w:lang w:val="en-US" w:eastAsia="zh-CN"/>
        </w:rPr>
        <w:t>二、询比程序</w:t>
      </w:r>
      <w:bookmarkEnd w:id="13"/>
      <w:bookmarkEnd w:id="14"/>
      <w:bookmarkEnd w:id="15"/>
      <w:bookmarkStart w:id="16" w:name="_Toc10714"/>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1.评标规定</w:t>
      </w:r>
      <w:bookmarkEnd w:id="16"/>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（1）评标决策小组由采购方自行组建。</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（2）在评标过程中，出现各类带有争议性或不明确性问题均由评标决策小组共同研究确定。</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（3）参加评标会议的人员应对评标全过程的一切相关资料及信息进行保密，不得向任何人员泄露（法律、法规另有规定的情形除外）。</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（4）在响应文件的审查、澄清、评价、比较过程中，供应商对采购方或评标决策小组施加任何影响的行为，都将导致被取消投标资格。</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（5）中标人确定后，采购方不对未中标人就评标过程以及未能中标原因作出任何解释。未中标人不得向评标决策小组成员或其他有关人员索问评标过程的情况和材料。</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bookmarkStart w:id="17" w:name="_Toc23334"/>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2.评标方法</w:t>
      </w:r>
      <w:bookmarkEnd w:id="17"/>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（1）本次评标采用内部评标。 </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（2）本次评标采用综合评分法对投标人提交的投标文件进行综合评分，按照综合得分由高到低的顺序确定最终合作单位。</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（3）采购方无义务必须接受收到的最低价格或者其他任何响应文件。</w:t>
      </w:r>
      <w:bookmarkStart w:id="18" w:name="_MON_1599482453"/>
      <w:bookmarkEnd w:id="1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sz w:val="32"/>
          <w:szCs w:val="32"/>
          <w:lang w:val="en-US" w:eastAsia="zh-CN"/>
        </w:rPr>
      </w:pPr>
      <w:bookmarkStart w:id="19" w:name="_Toc8339"/>
      <w:bookmarkStart w:id="20" w:name="_Toc31593"/>
      <w:r>
        <w:rPr>
          <w:rFonts w:hint="eastAsia" w:ascii="黑体" w:hAnsi="黑体" w:eastAsia="黑体" w:cs="黑体"/>
          <w:sz w:val="32"/>
          <w:szCs w:val="32"/>
          <w:lang w:val="en-US" w:eastAsia="zh-CN"/>
        </w:rPr>
        <w:t>三、询比报价</w:t>
      </w:r>
      <w:bookmarkEnd w:id="19"/>
      <w:bookmarkEnd w:id="20"/>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投标人所报价格应为含税综合报价，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包含但不限于完成朱宏物流园规划建设、城郊大仓基地两个项目的可行性研究、报告编制及协助我公司进行项目入园评审、审批、立项等工作的所有费用。</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sz w:val="32"/>
          <w:szCs w:val="32"/>
          <w:lang w:val="en-US" w:eastAsia="zh-CN"/>
        </w:rPr>
      </w:pPr>
      <w:bookmarkStart w:id="21" w:name="_Toc22824"/>
      <w:bookmarkStart w:id="22" w:name="_Toc25400"/>
      <w:r>
        <w:rPr>
          <w:rFonts w:hint="eastAsia" w:ascii="黑体" w:hAnsi="黑体" w:eastAsia="黑体" w:cs="黑体"/>
          <w:sz w:val="32"/>
          <w:szCs w:val="32"/>
          <w:lang w:val="en-US" w:eastAsia="zh-CN"/>
        </w:rPr>
        <w:t>四、响应文件组成</w:t>
      </w:r>
      <w:bookmarkEnd w:id="21"/>
      <w:bookmarkEnd w:id="22"/>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响应文件主要包括以下内容：</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1.营业执照复印件</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2.服务方案 </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3.报价函</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4.类似项目业绩</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5.法定代表人证明书</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6.投标文件签署授权委托书</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7.投标人认为需要加以说明的其他内容</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default" w:ascii="黑体" w:hAnsi="黑体" w:eastAsia="黑体" w:cs="黑体"/>
          <w:sz w:val="32"/>
          <w:szCs w:val="32"/>
          <w:lang w:val="en-US" w:eastAsia="zh-CN"/>
        </w:rPr>
      </w:pPr>
      <w:r>
        <w:rPr>
          <w:rFonts w:hint="eastAsia" w:ascii="仿宋_GB2312" w:hAnsi="仿宋_GB2312" w:eastAsia="仿宋_GB2312" w:cs="仿宋_GB2312"/>
          <w:kern w:val="2"/>
          <w:sz w:val="32"/>
          <w:szCs w:val="32"/>
          <w:lang w:val="en-US" w:eastAsia="zh-CN" w:bidi="ar-SA"/>
        </w:rPr>
        <w:t>备注：响应文件一式两份，密封并加盖公章。</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lang w:val="en-US"/>
        </w:rPr>
      </w:pPr>
      <w:r>
        <w:rPr>
          <w:rFonts w:hint="eastAsia" w:ascii="仿宋" w:hAnsi="仿宋" w:eastAsia="仿宋" w:cs="仿宋"/>
          <w:sz w:val="32"/>
          <w:szCs w:val="32"/>
          <w:lang w:val="en-US" w:eastAsia="zh-CN"/>
        </w:rPr>
        <w:t xml:space="preserve">              </w:t>
      </w:r>
    </w:p>
    <w:p>
      <w:pPr>
        <w:spacing w:line="360" w:lineRule="auto"/>
        <w:jc w:val="left"/>
        <w:outlineLvl w:val="9"/>
        <w:rPr>
          <w:rFonts w:hint="eastAsia"/>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B5206B"/>
    <w:multiLevelType w:val="singleLevel"/>
    <w:tmpl w:val="20B5206B"/>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lMzIwNTg3YTczMmE5MDAwMGE1NjM5ZTFhNjBiZjIifQ=="/>
  </w:docVars>
  <w:rsids>
    <w:rsidRoot w:val="00000000"/>
    <w:rsid w:val="003A4DB8"/>
    <w:rsid w:val="006360BD"/>
    <w:rsid w:val="007007DA"/>
    <w:rsid w:val="007F0A1D"/>
    <w:rsid w:val="00950240"/>
    <w:rsid w:val="00C30909"/>
    <w:rsid w:val="012F2EBA"/>
    <w:rsid w:val="0136732D"/>
    <w:rsid w:val="01E4322D"/>
    <w:rsid w:val="021B7390"/>
    <w:rsid w:val="024837DC"/>
    <w:rsid w:val="02486D01"/>
    <w:rsid w:val="02685C0C"/>
    <w:rsid w:val="02697355"/>
    <w:rsid w:val="032558AB"/>
    <w:rsid w:val="0385634A"/>
    <w:rsid w:val="04104696"/>
    <w:rsid w:val="041A1188"/>
    <w:rsid w:val="045A3333"/>
    <w:rsid w:val="046B1AD5"/>
    <w:rsid w:val="04806B11"/>
    <w:rsid w:val="04BA64C7"/>
    <w:rsid w:val="04DC643E"/>
    <w:rsid w:val="0527015B"/>
    <w:rsid w:val="0532605E"/>
    <w:rsid w:val="05BB24F7"/>
    <w:rsid w:val="06DD649D"/>
    <w:rsid w:val="06E72E78"/>
    <w:rsid w:val="06E93094"/>
    <w:rsid w:val="074B1659"/>
    <w:rsid w:val="076D5A73"/>
    <w:rsid w:val="07AB0349"/>
    <w:rsid w:val="07B047D1"/>
    <w:rsid w:val="07B0770E"/>
    <w:rsid w:val="0822685D"/>
    <w:rsid w:val="08236132"/>
    <w:rsid w:val="083245C7"/>
    <w:rsid w:val="089454E3"/>
    <w:rsid w:val="096B4234"/>
    <w:rsid w:val="0A951569"/>
    <w:rsid w:val="0ACC0D02"/>
    <w:rsid w:val="0AD96F7B"/>
    <w:rsid w:val="0B092A8A"/>
    <w:rsid w:val="0B0F299D"/>
    <w:rsid w:val="0C9D2956"/>
    <w:rsid w:val="0CD914B5"/>
    <w:rsid w:val="0D162709"/>
    <w:rsid w:val="0D244E26"/>
    <w:rsid w:val="0D8E6743"/>
    <w:rsid w:val="0D9F5624"/>
    <w:rsid w:val="0DF540CC"/>
    <w:rsid w:val="0E1327A4"/>
    <w:rsid w:val="0E4D3F08"/>
    <w:rsid w:val="0E653000"/>
    <w:rsid w:val="0E664FCA"/>
    <w:rsid w:val="0EA24254"/>
    <w:rsid w:val="0F032819"/>
    <w:rsid w:val="0F661726"/>
    <w:rsid w:val="0F890F70"/>
    <w:rsid w:val="0FC226D4"/>
    <w:rsid w:val="0FD42EB8"/>
    <w:rsid w:val="10374E70"/>
    <w:rsid w:val="10E50428"/>
    <w:rsid w:val="12331667"/>
    <w:rsid w:val="123C676E"/>
    <w:rsid w:val="12482ADA"/>
    <w:rsid w:val="12577104"/>
    <w:rsid w:val="131E40C5"/>
    <w:rsid w:val="132A4818"/>
    <w:rsid w:val="13A445CA"/>
    <w:rsid w:val="13CB5FFB"/>
    <w:rsid w:val="14065285"/>
    <w:rsid w:val="14186D67"/>
    <w:rsid w:val="14DE58BA"/>
    <w:rsid w:val="15192D96"/>
    <w:rsid w:val="151C4634"/>
    <w:rsid w:val="15AF54A9"/>
    <w:rsid w:val="15DD0268"/>
    <w:rsid w:val="164216BE"/>
    <w:rsid w:val="167069E6"/>
    <w:rsid w:val="16AB3EC2"/>
    <w:rsid w:val="16F05D79"/>
    <w:rsid w:val="17742506"/>
    <w:rsid w:val="17EC27BB"/>
    <w:rsid w:val="17F378CF"/>
    <w:rsid w:val="17F83137"/>
    <w:rsid w:val="18673E19"/>
    <w:rsid w:val="18A24E51"/>
    <w:rsid w:val="18D57512"/>
    <w:rsid w:val="19120228"/>
    <w:rsid w:val="19353F17"/>
    <w:rsid w:val="193975E7"/>
    <w:rsid w:val="19570331"/>
    <w:rsid w:val="1987620B"/>
    <w:rsid w:val="198B333F"/>
    <w:rsid w:val="1A6D6BAE"/>
    <w:rsid w:val="1A6E2B5A"/>
    <w:rsid w:val="1AF851FC"/>
    <w:rsid w:val="1B1F4E7E"/>
    <w:rsid w:val="1B7900EB"/>
    <w:rsid w:val="1BBE1FA1"/>
    <w:rsid w:val="1BF34341"/>
    <w:rsid w:val="1C136517"/>
    <w:rsid w:val="1C9176B6"/>
    <w:rsid w:val="1CAC629E"/>
    <w:rsid w:val="1CB533A4"/>
    <w:rsid w:val="1CC01D49"/>
    <w:rsid w:val="1CCE334C"/>
    <w:rsid w:val="1CFD2F9D"/>
    <w:rsid w:val="1D0E0D07"/>
    <w:rsid w:val="1D3E5F1C"/>
    <w:rsid w:val="1D792624"/>
    <w:rsid w:val="1DB23D88"/>
    <w:rsid w:val="1DE06B47"/>
    <w:rsid w:val="1E0D5462"/>
    <w:rsid w:val="1E37603B"/>
    <w:rsid w:val="1E827BFE"/>
    <w:rsid w:val="1F330EF8"/>
    <w:rsid w:val="1F890B18"/>
    <w:rsid w:val="1FDF698A"/>
    <w:rsid w:val="20270A5D"/>
    <w:rsid w:val="20401B1F"/>
    <w:rsid w:val="206C2914"/>
    <w:rsid w:val="20B322F1"/>
    <w:rsid w:val="20E57FD0"/>
    <w:rsid w:val="20F32701"/>
    <w:rsid w:val="210E39CB"/>
    <w:rsid w:val="21B53E47"/>
    <w:rsid w:val="2217065D"/>
    <w:rsid w:val="22995516"/>
    <w:rsid w:val="229B128E"/>
    <w:rsid w:val="22A04AF7"/>
    <w:rsid w:val="230C3F3A"/>
    <w:rsid w:val="235D02F2"/>
    <w:rsid w:val="23A81EB5"/>
    <w:rsid w:val="23F21382"/>
    <w:rsid w:val="245E07C6"/>
    <w:rsid w:val="247D50F0"/>
    <w:rsid w:val="24803679"/>
    <w:rsid w:val="248D2E59"/>
    <w:rsid w:val="24AF4B7D"/>
    <w:rsid w:val="24CC3981"/>
    <w:rsid w:val="24E32A79"/>
    <w:rsid w:val="25056E93"/>
    <w:rsid w:val="253D487F"/>
    <w:rsid w:val="25695674"/>
    <w:rsid w:val="25BA1DFD"/>
    <w:rsid w:val="25E116AE"/>
    <w:rsid w:val="25E87F6B"/>
    <w:rsid w:val="26121868"/>
    <w:rsid w:val="264834DB"/>
    <w:rsid w:val="26681488"/>
    <w:rsid w:val="267C3185"/>
    <w:rsid w:val="27565784"/>
    <w:rsid w:val="27C13F7E"/>
    <w:rsid w:val="27D222F0"/>
    <w:rsid w:val="27ED433A"/>
    <w:rsid w:val="27FA6A57"/>
    <w:rsid w:val="284B72B3"/>
    <w:rsid w:val="28717C80"/>
    <w:rsid w:val="2890116A"/>
    <w:rsid w:val="28CB21A2"/>
    <w:rsid w:val="2919115F"/>
    <w:rsid w:val="296543A4"/>
    <w:rsid w:val="2967011C"/>
    <w:rsid w:val="29C9048F"/>
    <w:rsid w:val="2A3A138D"/>
    <w:rsid w:val="2ABA644D"/>
    <w:rsid w:val="2AF23A16"/>
    <w:rsid w:val="2B0D6AA1"/>
    <w:rsid w:val="2B1E2BF0"/>
    <w:rsid w:val="2B345DDC"/>
    <w:rsid w:val="2B5E72FD"/>
    <w:rsid w:val="2C1874AC"/>
    <w:rsid w:val="2C671545"/>
    <w:rsid w:val="2C8A2A24"/>
    <w:rsid w:val="2CBF5B79"/>
    <w:rsid w:val="2D053ED4"/>
    <w:rsid w:val="2D3C541C"/>
    <w:rsid w:val="2D8079FF"/>
    <w:rsid w:val="2D8F0785"/>
    <w:rsid w:val="2E6B5FB9"/>
    <w:rsid w:val="2E976DAE"/>
    <w:rsid w:val="2EAD4823"/>
    <w:rsid w:val="2EC7265D"/>
    <w:rsid w:val="2ECD0A22"/>
    <w:rsid w:val="2F210D6D"/>
    <w:rsid w:val="2F725125"/>
    <w:rsid w:val="2F7C5FA4"/>
    <w:rsid w:val="2F81180C"/>
    <w:rsid w:val="2FA8323D"/>
    <w:rsid w:val="2FC260AC"/>
    <w:rsid w:val="2FEA115F"/>
    <w:rsid w:val="2FEE6EA1"/>
    <w:rsid w:val="306E3B3E"/>
    <w:rsid w:val="30AC4667"/>
    <w:rsid w:val="30AE03DF"/>
    <w:rsid w:val="30E81B43"/>
    <w:rsid w:val="30F67B42"/>
    <w:rsid w:val="31010E56"/>
    <w:rsid w:val="31140B8A"/>
    <w:rsid w:val="31376626"/>
    <w:rsid w:val="31422F43"/>
    <w:rsid w:val="3183186B"/>
    <w:rsid w:val="31B00187"/>
    <w:rsid w:val="33122EA7"/>
    <w:rsid w:val="337E22EA"/>
    <w:rsid w:val="33EA3E24"/>
    <w:rsid w:val="35246EC1"/>
    <w:rsid w:val="356C2617"/>
    <w:rsid w:val="359009FB"/>
    <w:rsid w:val="36140CE4"/>
    <w:rsid w:val="361E6007"/>
    <w:rsid w:val="364D1149"/>
    <w:rsid w:val="36534486"/>
    <w:rsid w:val="3660217B"/>
    <w:rsid w:val="36A4650C"/>
    <w:rsid w:val="376F7A7E"/>
    <w:rsid w:val="378679C0"/>
    <w:rsid w:val="37D22C05"/>
    <w:rsid w:val="37DE3C9F"/>
    <w:rsid w:val="381551E7"/>
    <w:rsid w:val="386540D4"/>
    <w:rsid w:val="39047736"/>
    <w:rsid w:val="39225E0E"/>
    <w:rsid w:val="39461AFC"/>
    <w:rsid w:val="394A2C6F"/>
    <w:rsid w:val="397D3044"/>
    <w:rsid w:val="3A00614F"/>
    <w:rsid w:val="3A0B4AF4"/>
    <w:rsid w:val="3A8A3C6B"/>
    <w:rsid w:val="3AD6438F"/>
    <w:rsid w:val="3AEC28F6"/>
    <w:rsid w:val="3B1479D8"/>
    <w:rsid w:val="3B293484"/>
    <w:rsid w:val="3B8A1E22"/>
    <w:rsid w:val="3C3E2F5F"/>
    <w:rsid w:val="3C7A1ABD"/>
    <w:rsid w:val="3C85293C"/>
    <w:rsid w:val="3C9012E0"/>
    <w:rsid w:val="3C97266F"/>
    <w:rsid w:val="3CBB49F7"/>
    <w:rsid w:val="3CC66AB0"/>
    <w:rsid w:val="3D3879AE"/>
    <w:rsid w:val="3D5F13DF"/>
    <w:rsid w:val="3D801355"/>
    <w:rsid w:val="3D803103"/>
    <w:rsid w:val="3DA70690"/>
    <w:rsid w:val="3DD80F1F"/>
    <w:rsid w:val="3E077380"/>
    <w:rsid w:val="3E3F4D6C"/>
    <w:rsid w:val="3E9E5F37"/>
    <w:rsid w:val="3EAE709F"/>
    <w:rsid w:val="3EB71B36"/>
    <w:rsid w:val="3EEA117C"/>
    <w:rsid w:val="3F52287D"/>
    <w:rsid w:val="3FC96FE3"/>
    <w:rsid w:val="3FCF2120"/>
    <w:rsid w:val="406E36E7"/>
    <w:rsid w:val="40972C3D"/>
    <w:rsid w:val="40B416B7"/>
    <w:rsid w:val="40B557B9"/>
    <w:rsid w:val="40B90E06"/>
    <w:rsid w:val="40CD2B03"/>
    <w:rsid w:val="41151DB4"/>
    <w:rsid w:val="417E7959"/>
    <w:rsid w:val="41B4781F"/>
    <w:rsid w:val="41E023C2"/>
    <w:rsid w:val="423A5D78"/>
    <w:rsid w:val="427B20EB"/>
    <w:rsid w:val="42995053"/>
    <w:rsid w:val="43086074"/>
    <w:rsid w:val="43931DE2"/>
    <w:rsid w:val="43E73EDC"/>
    <w:rsid w:val="43E97426"/>
    <w:rsid w:val="445D419E"/>
    <w:rsid w:val="44FF7003"/>
    <w:rsid w:val="455455A1"/>
    <w:rsid w:val="45B559DE"/>
    <w:rsid w:val="465515D1"/>
    <w:rsid w:val="46CC1AC7"/>
    <w:rsid w:val="471E2976"/>
    <w:rsid w:val="47D46525"/>
    <w:rsid w:val="489F2FD7"/>
    <w:rsid w:val="48AE321A"/>
    <w:rsid w:val="48B620CF"/>
    <w:rsid w:val="493354CD"/>
    <w:rsid w:val="49470F79"/>
    <w:rsid w:val="496D09DF"/>
    <w:rsid w:val="49777AB0"/>
    <w:rsid w:val="49BD69A9"/>
    <w:rsid w:val="49CB3958"/>
    <w:rsid w:val="49D62A28"/>
    <w:rsid w:val="49F17862"/>
    <w:rsid w:val="49F64E79"/>
    <w:rsid w:val="4A080708"/>
    <w:rsid w:val="4A301EC6"/>
    <w:rsid w:val="4AE253FD"/>
    <w:rsid w:val="4B6776B0"/>
    <w:rsid w:val="4C06511B"/>
    <w:rsid w:val="4C365A00"/>
    <w:rsid w:val="4C3B0D25"/>
    <w:rsid w:val="4C79769B"/>
    <w:rsid w:val="4C8449BE"/>
    <w:rsid w:val="4C952477"/>
    <w:rsid w:val="4C9E5AA1"/>
    <w:rsid w:val="4CB46925"/>
    <w:rsid w:val="4CD82614"/>
    <w:rsid w:val="4CE90CC5"/>
    <w:rsid w:val="4CF17B79"/>
    <w:rsid w:val="4D750D37"/>
    <w:rsid w:val="4D7C38E7"/>
    <w:rsid w:val="4D891B60"/>
    <w:rsid w:val="4E0F6509"/>
    <w:rsid w:val="4E197388"/>
    <w:rsid w:val="4E61488B"/>
    <w:rsid w:val="4E6A1991"/>
    <w:rsid w:val="4E6D1482"/>
    <w:rsid w:val="4EB3158A"/>
    <w:rsid w:val="4EBE3A8B"/>
    <w:rsid w:val="4EF120B3"/>
    <w:rsid w:val="4F31425D"/>
    <w:rsid w:val="4F7D1D9E"/>
    <w:rsid w:val="50145C5F"/>
    <w:rsid w:val="501871CB"/>
    <w:rsid w:val="503A5393"/>
    <w:rsid w:val="5099655E"/>
    <w:rsid w:val="50A218B6"/>
    <w:rsid w:val="50A373DC"/>
    <w:rsid w:val="50AD2009"/>
    <w:rsid w:val="514E7348"/>
    <w:rsid w:val="51874608"/>
    <w:rsid w:val="519F1952"/>
    <w:rsid w:val="51E87A70"/>
    <w:rsid w:val="52262073"/>
    <w:rsid w:val="526B217C"/>
    <w:rsid w:val="528943B0"/>
    <w:rsid w:val="528A0854"/>
    <w:rsid w:val="532145E9"/>
    <w:rsid w:val="534A1D91"/>
    <w:rsid w:val="53A51A58"/>
    <w:rsid w:val="53C75190"/>
    <w:rsid w:val="53D61877"/>
    <w:rsid w:val="54387E3C"/>
    <w:rsid w:val="54A454D1"/>
    <w:rsid w:val="55001C97"/>
    <w:rsid w:val="55144405"/>
    <w:rsid w:val="55214D74"/>
    <w:rsid w:val="559612BE"/>
    <w:rsid w:val="55C327CF"/>
    <w:rsid w:val="55C45E2B"/>
    <w:rsid w:val="55F52488"/>
    <w:rsid w:val="56625644"/>
    <w:rsid w:val="56813855"/>
    <w:rsid w:val="569752EE"/>
    <w:rsid w:val="572507EB"/>
    <w:rsid w:val="57601B83"/>
    <w:rsid w:val="580544D9"/>
    <w:rsid w:val="58296419"/>
    <w:rsid w:val="5886561A"/>
    <w:rsid w:val="58AB1524"/>
    <w:rsid w:val="59AD307A"/>
    <w:rsid w:val="59E56124"/>
    <w:rsid w:val="5A366BCB"/>
    <w:rsid w:val="5A64198B"/>
    <w:rsid w:val="5A9B2ED2"/>
    <w:rsid w:val="5AA77AC9"/>
    <w:rsid w:val="5B1433B1"/>
    <w:rsid w:val="5B57329D"/>
    <w:rsid w:val="5B953DC6"/>
    <w:rsid w:val="5BDC19F5"/>
    <w:rsid w:val="5BDD7C46"/>
    <w:rsid w:val="5BE70AC5"/>
    <w:rsid w:val="5BF62AB6"/>
    <w:rsid w:val="5D015BB7"/>
    <w:rsid w:val="5D8A795A"/>
    <w:rsid w:val="5DB744C7"/>
    <w:rsid w:val="5E115985"/>
    <w:rsid w:val="5E622685"/>
    <w:rsid w:val="5E693A13"/>
    <w:rsid w:val="5E9D190F"/>
    <w:rsid w:val="5EAA7148"/>
    <w:rsid w:val="5EF47BF5"/>
    <w:rsid w:val="5F995581"/>
    <w:rsid w:val="5FAE5456"/>
    <w:rsid w:val="5FBC5DC5"/>
    <w:rsid w:val="600D1A6E"/>
    <w:rsid w:val="60397415"/>
    <w:rsid w:val="60995B36"/>
    <w:rsid w:val="61306A6A"/>
    <w:rsid w:val="6170330B"/>
    <w:rsid w:val="618446C0"/>
    <w:rsid w:val="61B054B5"/>
    <w:rsid w:val="61D75138"/>
    <w:rsid w:val="61E37639"/>
    <w:rsid w:val="620121B5"/>
    <w:rsid w:val="624D3BE8"/>
    <w:rsid w:val="62570027"/>
    <w:rsid w:val="62B611F1"/>
    <w:rsid w:val="62D43425"/>
    <w:rsid w:val="635D095A"/>
    <w:rsid w:val="63A814AD"/>
    <w:rsid w:val="642301C1"/>
    <w:rsid w:val="646F3406"/>
    <w:rsid w:val="64AC465A"/>
    <w:rsid w:val="64F63B27"/>
    <w:rsid w:val="656E7B61"/>
    <w:rsid w:val="66811B16"/>
    <w:rsid w:val="66E0683D"/>
    <w:rsid w:val="67B43BAE"/>
    <w:rsid w:val="68476448"/>
    <w:rsid w:val="688A2F04"/>
    <w:rsid w:val="68AF296B"/>
    <w:rsid w:val="694E2184"/>
    <w:rsid w:val="695B5C13"/>
    <w:rsid w:val="69766FE4"/>
    <w:rsid w:val="69CE0BCF"/>
    <w:rsid w:val="69E5416A"/>
    <w:rsid w:val="6A464C09"/>
    <w:rsid w:val="6A845731"/>
    <w:rsid w:val="6A927E4E"/>
    <w:rsid w:val="6B250CC2"/>
    <w:rsid w:val="6B340E91"/>
    <w:rsid w:val="6BF1329A"/>
    <w:rsid w:val="6BF84629"/>
    <w:rsid w:val="6BFB1A23"/>
    <w:rsid w:val="6C180827"/>
    <w:rsid w:val="6C3D278A"/>
    <w:rsid w:val="6C496C32"/>
    <w:rsid w:val="6C4B29AA"/>
    <w:rsid w:val="6C755C79"/>
    <w:rsid w:val="6C783074"/>
    <w:rsid w:val="6CC22541"/>
    <w:rsid w:val="6DE55CC9"/>
    <w:rsid w:val="6DF80910"/>
    <w:rsid w:val="6E226419"/>
    <w:rsid w:val="6E6B7334"/>
    <w:rsid w:val="6E851A78"/>
    <w:rsid w:val="6EC95E08"/>
    <w:rsid w:val="6ECB392F"/>
    <w:rsid w:val="6F2A2D4B"/>
    <w:rsid w:val="6F3E05A4"/>
    <w:rsid w:val="6F4D07E7"/>
    <w:rsid w:val="6F7246F2"/>
    <w:rsid w:val="6FF45107"/>
    <w:rsid w:val="70441BEA"/>
    <w:rsid w:val="70531E2E"/>
    <w:rsid w:val="70C745CA"/>
    <w:rsid w:val="70DF7B65"/>
    <w:rsid w:val="70F058CE"/>
    <w:rsid w:val="71C01745"/>
    <w:rsid w:val="72586F54"/>
    <w:rsid w:val="72656FEF"/>
    <w:rsid w:val="72824C4C"/>
    <w:rsid w:val="72E01973"/>
    <w:rsid w:val="73974727"/>
    <w:rsid w:val="73C03C7E"/>
    <w:rsid w:val="73E13BF4"/>
    <w:rsid w:val="73F43927"/>
    <w:rsid w:val="74122000"/>
    <w:rsid w:val="74237D69"/>
    <w:rsid w:val="74624D35"/>
    <w:rsid w:val="74C72DEA"/>
    <w:rsid w:val="74C74B98"/>
    <w:rsid w:val="75B0387E"/>
    <w:rsid w:val="75EF43A6"/>
    <w:rsid w:val="76053BCA"/>
    <w:rsid w:val="7634625D"/>
    <w:rsid w:val="767F4431"/>
    <w:rsid w:val="76C577FD"/>
    <w:rsid w:val="77132317"/>
    <w:rsid w:val="771340C5"/>
    <w:rsid w:val="772A140E"/>
    <w:rsid w:val="7767024F"/>
    <w:rsid w:val="77FE6B23"/>
    <w:rsid w:val="78AC2A23"/>
    <w:rsid w:val="793F5645"/>
    <w:rsid w:val="79752E15"/>
    <w:rsid w:val="798E037A"/>
    <w:rsid w:val="79A82792"/>
    <w:rsid w:val="7ACC2F08"/>
    <w:rsid w:val="7B6475E5"/>
    <w:rsid w:val="7BB5399C"/>
    <w:rsid w:val="7BE97AEA"/>
    <w:rsid w:val="7BF70459"/>
    <w:rsid w:val="7C6929D9"/>
    <w:rsid w:val="7C9C690A"/>
    <w:rsid w:val="7D1E37C3"/>
    <w:rsid w:val="7D4C20DE"/>
    <w:rsid w:val="7D4E22FA"/>
    <w:rsid w:val="7D957F29"/>
    <w:rsid w:val="7D9B3066"/>
    <w:rsid w:val="7DEE13E8"/>
    <w:rsid w:val="7DFC3B04"/>
    <w:rsid w:val="7DFD787D"/>
    <w:rsid w:val="7E386B07"/>
    <w:rsid w:val="7E525E1A"/>
    <w:rsid w:val="7EFE1AFE"/>
    <w:rsid w:val="7F196938"/>
    <w:rsid w:val="7F45772D"/>
    <w:rsid w:val="7F5D1C16"/>
    <w:rsid w:val="7F954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1"/>
    <w:qFormat/>
    <w:uiPriority w:val="0"/>
    <w:pPr>
      <w:spacing w:line="440" w:lineRule="exact"/>
    </w:pPr>
    <w:rPr>
      <w:sz w:val="32"/>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99"/>
    <w:rPr>
      <w:color w:val="0000FF"/>
      <w:u w:val="single"/>
    </w:rPr>
  </w:style>
  <w:style w:type="paragraph" w:customStyle="1" w:styleId="13">
    <w:name w:val="WPSOffice手动目录 1"/>
    <w:qFormat/>
    <w:uiPriority w:val="0"/>
    <w:pPr>
      <w:ind w:leftChars="0"/>
    </w:pPr>
    <w:rPr>
      <w:rFonts w:asciiTheme="minorHAnsi" w:hAnsiTheme="minorHAnsi" w:eastAsiaTheme="minorEastAsia" w:cstheme="minorBidi"/>
      <w:sz w:val="20"/>
      <w:szCs w:val="20"/>
    </w:rPr>
  </w:style>
  <w:style w:type="paragraph" w:customStyle="1" w:styleId="14">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1286</Words>
  <Characters>1333</Characters>
  <Lines>0</Lines>
  <Paragraphs>0</Paragraphs>
  <TotalTime>2</TotalTime>
  <ScaleCrop>false</ScaleCrop>
  <LinksUpToDate>false</LinksUpToDate>
  <CharactersWithSpaces>1377</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2022-05-13T07:42:00Z</dcterms:created>
  <dc:creator>DELL</dc:creator>
  <cp:lastModifiedBy>DELL</cp:lastModifiedBy>
  <cp:lastPrinted>2023-02-21T01:26:00Z</cp:lastPrinted>
  <dcterms:modified xsi:type="dcterms:W3CDTF">2023-10-19T01:18:19Z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A0EA5A100DB644499BE5423626025082</vt:lpwstr>
  </property>
</Properties>
</file>